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A66D15">
        <w:rPr>
          <w:b/>
          <w:lang w:val="bg-BG" w:eastAsia="bg-BG"/>
        </w:rPr>
        <w:t>950</w:t>
      </w:r>
      <w:r w:rsidR="00801277">
        <w:rPr>
          <w:b/>
          <w:lang w:val="bg-BG" w:eastAsia="bg-BG"/>
        </w:rPr>
        <w:t xml:space="preserve"> от </w:t>
      </w:r>
      <w:r w:rsidR="00A66D15">
        <w:rPr>
          <w:b/>
          <w:lang w:val="bg-BG" w:eastAsia="bg-BG"/>
        </w:rPr>
        <w:t>30</w:t>
      </w:r>
      <w:r>
        <w:rPr>
          <w:b/>
          <w:lang w:val="bg-BG" w:eastAsia="bg-BG"/>
        </w:rPr>
        <w:t>.0</w:t>
      </w:r>
      <w:r w:rsidR="0034187D">
        <w:rPr>
          <w:b/>
          <w:lang w:val="bg-BG" w:eastAsia="bg-BG"/>
        </w:rPr>
        <w:t>9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A66D15" w:rsidRDefault="00FC1875" w:rsidP="00A66D1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</w:t>
      </w:r>
      <w:r w:rsidR="00A66D15">
        <w:rPr>
          <w:lang w:val="bg-BG"/>
        </w:rPr>
        <w:t xml:space="preserve">регулация и </w:t>
      </w:r>
      <w:r w:rsidRPr="00CC5260">
        <w:rPr>
          <w:lang w:val="bg-BG"/>
        </w:rPr>
        <w:t xml:space="preserve">застрояване </w:t>
      </w:r>
      <w:r w:rsidRPr="00B108AA">
        <w:rPr>
          <w:color w:val="000000"/>
          <w:lang w:val="ru-RU"/>
        </w:rPr>
        <w:t>(П</w:t>
      </w:r>
      <w:r w:rsidR="00A66D15">
        <w:rPr>
          <w:color w:val="000000"/>
          <w:lang w:val="ru-RU"/>
        </w:rPr>
        <w:t>Р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 w:rsidR="00A66D15" w:rsidRPr="00C67221">
        <w:rPr>
          <w:lang w:val="bg-BG"/>
        </w:rPr>
        <w:t xml:space="preserve">за </w:t>
      </w:r>
      <w:proofErr w:type="gramStart"/>
      <w:r w:rsidR="00A66D15" w:rsidRPr="00C67221">
        <w:rPr>
          <w:lang w:val="bg-BG"/>
        </w:rPr>
        <w:t>Частично</w:t>
      </w:r>
      <w:proofErr w:type="gramEnd"/>
      <w:r w:rsidR="00A66D15" w:rsidRPr="00C67221">
        <w:rPr>
          <w:lang w:val="bg-BG"/>
        </w:rPr>
        <w:t xml:space="preserve"> изменение на действащия Подробен устройствен план на с. </w:t>
      </w:r>
      <w:r w:rsidR="00A66D15">
        <w:rPr>
          <w:lang w:val="bg-BG"/>
        </w:rPr>
        <w:t>Горна Росица</w:t>
      </w:r>
      <w:r w:rsidR="00A66D15" w:rsidRPr="00C67221">
        <w:rPr>
          <w:lang w:val="bg-BG"/>
        </w:rPr>
        <w:t xml:space="preserve">, общ. Севлиево в обхват урегулирани поземлени имоти </w:t>
      </w:r>
      <w:r w:rsidR="00A66D15" w:rsidRPr="004520C4">
        <w:rPr>
          <w:lang w:val="bg-BG"/>
        </w:rPr>
        <w:t xml:space="preserve">УПИ </w:t>
      </w:r>
      <w:r w:rsidR="00A66D15">
        <w:t>XI</w:t>
      </w:r>
      <w:r w:rsidR="00A66D15">
        <w:rPr>
          <w:lang w:val="bg-BG"/>
        </w:rPr>
        <w:t xml:space="preserve">-490 </w:t>
      </w:r>
      <w:r w:rsidR="00A66D15" w:rsidRPr="004520C4">
        <w:rPr>
          <w:lang w:val="bg-BG"/>
        </w:rPr>
        <w:t xml:space="preserve">и УПИ </w:t>
      </w:r>
      <w:r w:rsidR="00A66D15">
        <w:t>XII</w:t>
      </w:r>
      <w:r w:rsidR="00A66D15">
        <w:rPr>
          <w:lang w:val="bg-BG"/>
        </w:rPr>
        <w:t>-486 от</w:t>
      </w:r>
      <w:r w:rsidR="00A66D15" w:rsidRPr="004520C4">
        <w:rPr>
          <w:lang w:val="bg-BG"/>
        </w:rPr>
        <w:t xml:space="preserve"> кв.</w:t>
      </w:r>
      <w:r w:rsidR="00A66D15">
        <w:rPr>
          <w:lang w:val="bg-BG"/>
        </w:rPr>
        <w:t>32</w:t>
      </w:r>
      <w:r w:rsidR="00A66D15" w:rsidRPr="004520C4">
        <w:rPr>
          <w:lang w:val="bg-BG"/>
        </w:rPr>
        <w:t xml:space="preserve"> по регулационния план на </w:t>
      </w:r>
      <w:proofErr w:type="spellStart"/>
      <w:r w:rsidR="00A66D15" w:rsidRPr="004520C4">
        <w:rPr>
          <w:lang w:val="bg-BG"/>
        </w:rPr>
        <w:t>с.</w:t>
      </w:r>
      <w:r w:rsidR="00A66D15">
        <w:rPr>
          <w:lang w:val="bg-BG"/>
        </w:rPr>
        <w:t>Горна</w:t>
      </w:r>
      <w:proofErr w:type="spellEnd"/>
      <w:r w:rsidR="00A66D15">
        <w:rPr>
          <w:lang w:val="bg-BG"/>
        </w:rPr>
        <w:t xml:space="preserve"> </w:t>
      </w:r>
      <w:proofErr w:type="spellStart"/>
      <w:r w:rsidR="00A66D15">
        <w:rPr>
          <w:lang w:val="bg-BG"/>
        </w:rPr>
        <w:t>Росица,общ.Севлиево</w:t>
      </w:r>
      <w:proofErr w:type="spellEnd"/>
      <w:r w:rsidR="00A66D15">
        <w:rPr>
          <w:lang w:val="bg-BG"/>
        </w:rPr>
        <w:t>.</w:t>
      </w:r>
    </w:p>
    <w:p w:rsidR="00A66D15" w:rsidRDefault="00A66D15" w:rsidP="00A66D1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на вътрешната регулационна линия между </w:t>
      </w:r>
      <w:r w:rsidRPr="004520C4">
        <w:rPr>
          <w:lang w:val="bg-BG"/>
        </w:rPr>
        <w:t xml:space="preserve">УПИ </w:t>
      </w:r>
      <w:r>
        <w:t>XI</w:t>
      </w:r>
      <w:r>
        <w:rPr>
          <w:lang w:val="bg-BG"/>
        </w:rPr>
        <w:t xml:space="preserve">-490 </w:t>
      </w:r>
      <w:r w:rsidRPr="004520C4">
        <w:rPr>
          <w:lang w:val="bg-BG"/>
        </w:rPr>
        <w:t xml:space="preserve">и УПИ </w:t>
      </w:r>
      <w:r>
        <w:t>XII</w:t>
      </w:r>
      <w:r>
        <w:rPr>
          <w:lang w:val="bg-BG"/>
        </w:rPr>
        <w:t>-486 от</w:t>
      </w:r>
      <w:r w:rsidRPr="004520C4">
        <w:rPr>
          <w:lang w:val="bg-BG"/>
        </w:rPr>
        <w:t xml:space="preserve"> кв.</w:t>
      </w:r>
      <w:r>
        <w:rPr>
          <w:lang w:val="bg-BG"/>
        </w:rPr>
        <w:t>32</w:t>
      </w:r>
      <w:r w:rsidRPr="004520C4">
        <w:rPr>
          <w:lang w:val="bg-BG"/>
        </w:rPr>
        <w:t xml:space="preserve"> по регулационния план на </w:t>
      </w:r>
      <w:proofErr w:type="spellStart"/>
      <w:r w:rsidRPr="004520C4">
        <w:rPr>
          <w:lang w:val="bg-BG"/>
        </w:rPr>
        <w:t>с.</w:t>
      </w:r>
      <w:r>
        <w:rPr>
          <w:lang w:val="bg-BG"/>
        </w:rPr>
        <w:t>Горна</w:t>
      </w:r>
      <w:proofErr w:type="spellEnd"/>
      <w:r>
        <w:rPr>
          <w:lang w:val="bg-BG"/>
        </w:rPr>
        <w:t xml:space="preserve"> Росица, Община Севлиево, да се премести по съществуващата имотна граница.</w:t>
      </w:r>
    </w:p>
    <w:p w:rsidR="00A66D15" w:rsidRPr="004520C4" w:rsidRDefault="00A66D15" w:rsidP="00A66D1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</w:t>
      </w:r>
      <w:r w:rsidRPr="004520C4">
        <w:rPr>
          <w:lang w:val="bg-BG"/>
        </w:rPr>
        <w:t xml:space="preserve">УПИ </w:t>
      </w:r>
      <w:r>
        <w:t>XI</w:t>
      </w:r>
      <w:r>
        <w:rPr>
          <w:lang w:val="bg-BG"/>
        </w:rPr>
        <w:t xml:space="preserve">-490 от кв.32 да се запази установената устройствена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- </w:t>
      </w:r>
      <w:r w:rsidRPr="004520C4">
        <w:rPr>
          <w:lang w:val="bg-BG"/>
        </w:rPr>
        <w:t>при следните устройствени показатели: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 w:rsidRPr="004520C4">
        <w:rPr>
          <w:lang w:val="bg-BG"/>
        </w:rPr>
        <w:t xml:space="preserve"> – свободно;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>8</w:t>
      </w:r>
      <w:r w:rsidRPr="004520C4">
        <w:rPr>
          <w:lang w:val="bg-BG"/>
        </w:rPr>
        <w:t>м;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 w:rsidRPr="004520C4">
        <w:rPr>
          <w:lang w:val="bg-BG"/>
        </w:rPr>
        <w:t xml:space="preserve"> – 60%;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 w:rsidRPr="004520C4">
        <w:rPr>
          <w:lang w:val="bg-BG"/>
        </w:rPr>
        <w:t xml:space="preserve"> – 1,2;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 w:rsidRPr="004520C4">
        <w:rPr>
          <w:lang w:val="bg-BG"/>
        </w:rPr>
        <w:t xml:space="preserve"> – 40%.</w:t>
      </w:r>
    </w:p>
    <w:p w:rsidR="00A66D15" w:rsidRPr="004520C4" w:rsidRDefault="00A66D15" w:rsidP="00A66D1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</w:t>
      </w:r>
      <w:r w:rsidRPr="004520C4">
        <w:rPr>
          <w:lang w:val="bg-BG"/>
        </w:rPr>
        <w:t xml:space="preserve">УПИ </w:t>
      </w:r>
      <w:r>
        <w:t>XII</w:t>
      </w:r>
      <w:r>
        <w:rPr>
          <w:lang w:val="bg-BG"/>
        </w:rPr>
        <w:t>-</w:t>
      </w:r>
      <w:r>
        <w:t>486</w:t>
      </w:r>
      <w:r>
        <w:rPr>
          <w:lang w:val="bg-BG"/>
        </w:rPr>
        <w:t xml:space="preserve"> от кв.32 да се запази установената устройствена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за ниско жилищно застрояване - </w:t>
      </w:r>
      <w:r w:rsidRPr="004520C4">
        <w:rPr>
          <w:lang w:val="bg-BG"/>
        </w:rPr>
        <w:t>при следните устройствени показатели: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 w:rsidRPr="004520C4">
        <w:rPr>
          <w:lang w:val="bg-BG"/>
        </w:rPr>
        <w:t xml:space="preserve"> – свободно;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>10</w:t>
      </w:r>
      <w:r w:rsidRPr="004520C4">
        <w:rPr>
          <w:lang w:val="bg-BG"/>
        </w:rPr>
        <w:t>м;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 w:rsidRPr="004520C4">
        <w:rPr>
          <w:lang w:val="bg-BG"/>
        </w:rPr>
        <w:t xml:space="preserve"> – 60%;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 w:rsidRPr="004520C4">
        <w:rPr>
          <w:lang w:val="bg-BG"/>
        </w:rPr>
        <w:t xml:space="preserve"> – 1,2;</w:t>
      </w:r>
    </w:p>
    <w:p w:rsidR="00A66D15" w:rsidRPr="004520C4" w:rsidRDefault="00A66D15" w:rsidP="00A66D1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 w:rsidRPr="004520C4">
        <w:rPr>
          <w:lang w:val="bg-BG"/>
        </w:rPr>
        <w:t xml:space="preserve"> – 40%.</w:t>
      </w:r>
    </w:p>
    <w:p w:rsidR="00FC1875" w:rsidRDefault="00FC1875" w:rsidP="00A66D15">
      <w:pPr>
        <w:ind w:right="-1"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A66D15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A66D15" w:rsidRPr="00A66D15">
        <w:rPr>
          <w:b/>
          <w:lang w:val="bg-BG"/>
        </w:rPr>
        <w:t xml:space="preserve">УПИ </w:t>
      </w:r>
      <w:r w:rsidR="00A66D15" w:rsidRPr="00A66D15">
        <w:rPr>
          <w:b/>
        </w:rPr>
        <w:t>XI</w:t>
      </w:r>
      <w:r w:rsidR="00A66D15" w:rsidRPr="00A66D15">
        <w:rPr>
          <w:b/>
          <w:lang w:val="bg-BG"/>
        </w:rPr>
        <w:t xml:space="preserve">-490 и УПИ </w:t>
      </w:r>
      <w:r w:rsidR="00A66D15" w:rsidRPr="00A66D15">
        <w:rPr>
          <w:b/>
        </w:rPr>
        <w:t>XII</w:t>
      </w:r>
      <w:r w:rsidR="00A66D15" w:rsidRPr="00A66D15">
        <w:rPr>
          <w:b/>
          <w:lang w:val="bg-BG"/>
        </w:rPr>
        <w:t xml:space="preserve">-486 от кв.32 по регулационния план на </w:t>
      </w:r>
      <w:proofErr w:type="spellStart"/>
      <w:r w:rsidR="00A66D15" w:rsidRPr="00A66D15">
        <w:rPr>
          <w:b/>
          <w:lang w:val="bg-BG"/>
        </w:rPr>
        <w:t>с.Горна</w:t>
      </w:r>
      <w:proofErr w:type="spellEnd"/>
      <w:r w:rsidR="00A66D15" w:rsidRPr="00A66D15">
        <w:rPr>
          <w:b/>
          <w:lang w:val="bg-BG"/>
        </w:rPr>
        <w:t xml:space="preserve"> Росица, Община Севлиево</w:t>
      </w:r>
      <w:r w:rsidRPr="00A66D15">
        <w:rPr>
          <w:b/>
          <w:lang w:val="bg-BG"/>
        </w:rPr>
        <w:t>.</w:t>
      </w:r>
    </w:p>
    <w:p w:rsidR="00FC1875" w:rsidRPr="00A66D1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A66D15">
        <w:rPr>
          <w:lang w:val="bg-BG" w:eastAsia="bg-BG"/>
        </w:rPr>
        <w:t>30</w:t>
      </w:r>
      <w:bookmarkStart w:id="0" w:name="_GoBack"/>
      <w:bookmarkEnd w:id="0"/>
      <w:r>
        <w:rPr>
          <w:lang w:val="bg-BG" w:eastAsia="bg-BG"/>
        </w:rPr>
        <w:t>.</w:t>
      </w:r>
      <w:r>
        <w:rPr>
          <w:lang w:eastAsia="bg-BG"/>
        </w:rPr>
        <w:t>0</w:t>
      </w:r>
      <w:r w:rsidR="0034187D">
        <w:rPr>
          <w:lang w:val="bg-BG" w:eastAsia="bg-BG"/>
        </w:rPr>
        <w:t>9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35" w:rsidRDefault="00637335">
      <w:r>
        <w:separator/>
      </w:r>
    </w:p>
  </w:endnote>
  <w:endnote w:type="continuationSeparator" w:id="0">
    <w:p w:rsidR="00637335" w:rsidRDefault="006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637335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35" w:rsidRDefault="00637335">
      <w:r>
        <w:separator/>
      </w:r>
    </w:p>
  </w:footnote>
  <w:footnote w:type="continuationSeparator" w:id="0">
    <w:p w:rsidR="00637335" w:rsidRDefault="0063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63733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63733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34187D"/>
    <w:rsid w:val="00380932"/>
    <w:rsid w:val="004450CB"/>
    <w:rsid w:val="004E02F2"/>
    <w:rsid w:val="00513104"/>
    <w:rsid w:val="00554534"/>
    <w:rsid w:val="005E5AA7"/>
    <w:rsid w:val="00637335"/>
    <w:rsid w:val="00684F5C"/>
    <w:rsid w:val="006B2F08"/>
    <w:rsid w:val="0072189A"/>
    <w:rsid w:val="00801277"/>
    <w:rsid w:val="00A66D15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A66D15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2021-09-30T10:23:00Z</dcterms:modified>
</cp:coreProperties>
</file>